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C" w:rsidRPr="004B174D" w:rsidRDefault="00E77DA8" w:rsidP="004A74B8">
      <w:pPr>
        <w:jc w:val="center"/>
      </w:pPr>
      <w:bookmarkStart w:id="0" w:name="_GoBack"/>
      <w:bookmarkEnd w:id="0"/>
      <w:r>
        <w:rPr>
          <w:noProof/>
        </w:rPr>
        <w:drawing>
          <wp:anchor distT="1800225" distB="360045" distL="114300" distR="114300" simplePos="0" relativeHeight="251657728" behindDoc="0" locked="1" layoutInCell="1" allowOverlap="0" wp14:anchorId="524AFA04" wp14:editId="21663DF4">
            <wp:simplePos x="0" y="0"/>
            <wp:positionH relativeFrom="page">
              <wp:align>center</wp:align>
            </wp:positionH>
            <wp:positionV relativeFrom="page">
              <wp:posOffset>1800225</wp:posOffset>
            </wp:positionV>
            <wp:extent cx="1259840" cy="1440180"/>
            <wp:effectExtent l="0" t="0" r="0" b="7620"/>
            <wp:wrapTopAndBottom/>
            <wp:docPr id="4" name="obrázek 4" descr="znak rozsude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nak rozsudek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44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26CC" w:rsidRPr="004B174D">
        <w:t>ČESKÁ REPUBLIKA</w:t>
      </w:r>
    </w:p>
    <w:p w:rsidR="003926CC" w:rsidRPr="004B174D" w:rsidRDefault="003926CC" w:rsidP="003926CC">
      <w:pPr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ROZSUDEK</w:t>
      </w:r>
    </w:p>
    <w:p w:rsidR="003926CC" w:rsidRPr="004B174D" w:rsidRDefault="003926CC" w:rsidP="003926CC">
      <w:pPr>
        <w:spacing w:after="480"/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JMÉNEM REPUBLIKY</w:t>
      </w:r>
      <w:r w:rsidR="00F11093">
        <w:rPr>
          <w:b/>
          <w:bCs/>
          <w:sz w:val="40"/>
          <w:szCs w:val="40"/>
        </w:rPr>
        <w:br/>
      </w:r>
      <w:r w:rsidR="00F11093" w:rsidRPr="00F11093">
        <w:rPr>
          <w:bCs/>
          <w:sz w:val="20"/>
        </w:rPr>
        <w:t>(anonymizovaný opis)</w:t>
      </w:r>
    </w:p>
    <w:p w:rsidR="004A5914" w:rsidRPr="005C2C7D" w:rsidRDefault="005C2C7D" w:rsidP="005C2C7D">
      <w:r w:rsidRPr="005C2C7D">
        <w:t>Krajský soud v Plzni rozhodl ve veřejném zasedání konaném dne 6. 5. 2020 v senátě složeném z předsedy senátu JUDr. Milana Suka a soudců Mgr. Františka Pokorného a Mgr. Zdeňky Šebkové</w:t>
      </w:r>
    </w:p>
    <w:p w:rsidR="00F11093" w:rsidRDefault="00F11093" w:rsidP="008A0B5D">
      <w:pPr>
        <w:pStyle w:val="Nadpisstirozsudku"/>
      </w:pPr>
      <w:r w:rsidRPr="00F11093">
        <w:t>takto</w:t>
      </w:r>
      <w:r>
        <w:t>:</w:t>
      </w:r>
    </w:p>
    <w:p w:rsidR="008A0B5D" w:rsidRPr="005C2C7D" w:rsidRDefault="005C2C7D" w:rsidP="005C2C7D">
      <w:pPr>
        <w:jc w:val="left"/>
      </w:pPr>
      <w:r w:rsidRPr="005C2C7D">
        <w:t xml:space="preserve">K odvolání poškozené společnosti TIMA, spol. s r.o. výrobní služby, Karlovy Vary, se podle § 258 odst. 1 písm. d), f), odst. 2 trestního řádu zrušuje rozsudek Okresního soudu v Karlových Varech ze dne 16. 1. 2020 č. j. 4 T 43/2019-1272 ve výroku o náhradě škody a podle § 259 odst. 3 trestního řádu se znovu rozhoduje tak, že se obžalovanému </w:t>
      </w:r>
      <w:r>
        <w:t>[</w:t>
      </w:r>
      <w:r w:rsidRPr="005C2C7D">
        <w:rPr>
          <w:shd w:val="clear" w:color="auto" w:fill="CCCCCC"/>
        </w:rPr>
        <w:t>jméno</w:t>
      </w:r>
      <w:r w:rsidRPr="005C2C7D">
        <w:t xml:space="preserve">] </w:t>
      </w:r>
      <w:r>
        <w:t>[</w:t>
      </w:r>
      <w:r w:rsidRPr="005C2C7D">
        <w:rPr>
          <w:shd w:val="clear" w:color="auto" w:fill="CCCCCC"/>
        </w:rPr>
        <w:t>příjmení</w:t>
      </w:r>
      <w:r w:rsidRPr="005C2C7D">
        <w:t>] ukládá povinnost uhradit poškozené společnosti TIMA spol. s r.o. – obchodně výrobní služby, IČ 40523284, se sídlem Vančurova 9, Karlovy Vary, způsobenou škodu ve výši 750 000 Kč.</w:t>
      </w:r>
    </w:p>
    <w:p w:rsidR="008A0B5D" w:rsidRDefault="008A0B5D" w:rsidP="008A0B5D">
      <w:pPr>
        <w:pStyle w:val="Nadpisstirozsudku"/>
      </w:pPr>
      <w:r>
        <w:t>Odůvodnění:</w:t>
      </w:r>
    </w:p>
    <w:p w:rsidR="005C2C7D" w:rsidRDefault="005C2C7D" w:rsidP="005C2C7D">
      <w:r w:rsidRPr="005C2C7D">
        <w:t xml:space="preserve">1. Napadeným rozsudkem byl obžalovaný </w:t>
      </w:r>
      <w:r>
        <w:t>[</w:t>
      </w:r>
      <w:r w:rsidRPr="005C2C7D">
        <w:rPr>
          <w:shd w:val="clear" w:color="auto" w:fill="CCCCCC"/>
        </w:rPr>
        <w:t>jméno</w:t>
      </w:r>
      <w:r w:rsidRPr="005C2C7D">
        <w:t xml:space="preserve">] </w:t>
      </w:r>
      <w:r>
        <w:t>[</w:t>
      </w:r>
      <w:r w:rsidRPr="005C2C7D">
        <w:rPr>
          <w:shd w:val="clear" w:color="auto" w:fill="CCCCCC"/>
        </w:rPr>
        <w:t>příjmení</w:t>
      </w:r>
      <w:r w:rsidRPr="005C2C7D">
        <w:t xml:space="preserve">] uznán vinným zločinem podvodu dle § 209 odst. 1, 4 písm. d) trestního zákoníku na tom skutkovém základě, že jako jediný jednatel a společník společnosti </w:t>
      </w:r>
      <w:r>
        <w:t>[</w:t>
      </w:r>
      <w:r w:rsidRPr="005C2C7D">
        <w:rPr>
          <w:shd w:val="clear" w:color="auto" w:fill="CCCCCC"/>
        </w:rPr>
        <w:t>právnická osoba</w:t>
      </w:r>
      <w:r w:rsidRPr="005C2C7D">
        <w:t xml:space="preserve">], </w:t>
      </w:r>
      <w:r>
        <w:t>[</w:t>
      </w:r>
      <w:r w:rsidRPr="005C2C7D">
        <w:rPr>
          <w:shd w:val="clear" w:color="auto" w:fill="CCCCCC"/>
        </w:rPr>
        <w:t>IČO</w:t>
      </w:r>
      <w:r w:rsidRPr="005C2C7D">
        <w:t xml:space="preserve">], se sídlem </w:t>
      </w:r>
      <w:r>
        <w:t>[</w:t>
      </w:r>
      <w:r w:rsidRPr="005C2C7D">
        <w:rPr>
          <w:shd w:val="clear" w:color="auto" w:fill="CCCCCC"/>
        </w:rPr>
        <w:t>obec a číslo</w:t>
      </w:r>
      <w:r w:rsidRPr="005C2C7D">
        <w:t xml:space="preserve">], ačkoliv si byl vědom, že společnost nebyla dlouhodobě schopna řádně a včas plnit své závazky vůči zaměstnancům a dodavatelům, dlouhodobě nejméně od ledna 2015 řádně nehradila nájemné za pronajaté výrobní prostory, bankovní účet společnosti byl od 10.1.2017 exekučně blokován a že společnost měla ke dni 26.7.2017 nesplacené závazky po lhůtě splatnosti nejméně ve výši 3.023.305 Kč, přesto dne 26.7.2017 v Karlových Varech uzavřel jako zhotovitel s objednatelem - poškozenou společností TIMA, spol. s r.o. - obchodně výrobní služby smlouvu o dílo číslo 16- 070-1101-17 -056-, jejímž předmětem byla kompletní výroba, dodávka a montáž replik původních dveří na stavbě označené jako: Modernizace lázeňského domu "THERMIA", za celkovou cenu díla 3.026.188,60 Kč, přičemž poškozené společnosti zamlčel, že jeho společnost má dlouhodobé finanční potíže, neboť věděl, že v takovém případě by s ním poškozená společnost smlouvu o dílo neuzavřela, a následně dne 26.7.2017 v souladu s uzavřenou smlouvu o dílo vystavil předfakturu č. 0/170005, na částku 750.000 Kč bez DPH, s datem splatnosti 26.7.2017, kdy tato částka představovala </w:t>
      </w:r>
      <w:r w:rsidRPr="005C2C7D">
        <w:lastRenderedPageBreak/>
        <w:t xml:space="preserve">zálohu na provedení díla, kterou se při jednání se zástupci poškozené společnosti zavázal použít výhradně na realizaci zakázky, což však neměl v úmyslu, neboť finanční prostředky ze zálohy hodlal použít na úhradu svých osobních dluhů a dluhů své společnosti, na základě této faktury pak poškozená společnost dne 27.7.2017 uhradila ze svého bankovního účtu č. </w:t>
      </w:r>
      <w:r>
        <w:t>[</w:t>
      </w:r>
      <w:r w:rsidRPr="005C2C7D">
        <w:rPr>
          <w:shd w:val="clear" w:color="auto" w:fill="CCCCCC"/>
        </w:rPr>
        <w:t>bankovní účet</w:t>
      </w:r>
      <w:r w:rsidRPr="005C2C7D">
        <w:t xml:space="preserve">] částku 750.000 Kč jako zálohu na provedení díla, přičemž uvedenou částku poukázala v souladu s uzavřenou smlouvou a vystavenou fakturou na bankovní účet č. </w:t>
      </w:r>
      <w:r>
        <w:t>[</w:t>
      </w:r>
      <w:r w:rsidRPr="005C2C7D">
        <w:rPr>
          <w:shd w:val="clear" w:color="auto" w:fill="CCCCCC"/>
        </w:rPr>
        <w:t>bankovní účet</w:t>
      </w:r>
      <w:r w:rsidRPr="005C2C7D">
        <w:t xml:space="preserve">], jehož majitelem a jediným disponentem byl obviněný </w:t>
      </w:r>
      <w:r>
        <w:t>[</w:t>
      </w:r>
      <w:r w:rsidRPr="005C2C7D">
        <w:rPr>
          <w:shd w:val="clear" w:color="auto" w:fill="CCCCCC"/>
        </w:rPr>
        <w:t>jméno</w:t>
      </w:r>
      <w:r w:rsidRPr="005C2C7D">
        <w:t xml:space="preserve">] </w:t>
      </w:r>
      <w:r>
        <w:t>[</w:t>
      </w:r>
      <w:r w:rsidRPr="005C2C7D">
        <w:rPr>
          <w:shd w:val="clear" w:color="auto" w:fill="CCCCCC"/>
        </w:rPr>
        <w:t>příjmení</w:t>
      </w:r>
      <w:r w:rsidRPr="005C2C7D">
        <w:t xml:space="preserve">], který následně poukázané finanční prostředky použil zčásti na úhradu svých osobních závazků, zčásti na úhradu závazků společnosti </w:t>
      </w:r>
      <w:r>
        <w:t>[</w:t>
      </w:r>
      <w:r w:rsidRPr="005C2C7D">
        <w:rPr>
          <w:shd w:val="clear" w:color="auto" w:fill="CCCCCC"/>
        </w:rPr>
        <w:t>právnická osoba</w:t>
      </w:r>
      <w:r w:rsidRPr="005C2C7D">
        <w:t>], a zčásti nezjištěným způsobem, následně nesplnil smlouvou stanovený harmonogram plnění smluvních povinností a přestal se zástupci poškozené společnosti komunikovat, a v důsledku toho poškozená společnost dne 6.11.2017 odstoupila od smlouvy o dílo a vyzvala obviněného k vrácení zálohy, což obviněný neučinil, čímž způsobil poškozené společnosti TIMA, spol. s r.o. - obchodně výrobní služby, IČ: 40523284, se sídlem Karlovy Vary, Vančurova 477, škodu v celkové výši 750.000 Kč.</w:t>
      </w:r>
    </w:p>
    <w:p w:rsidR="005C2C7D" w:rsidRDefault="005C2C7D" w:rsidP="005C2C7D">
      <w:r w:rsidRPr="005C2C7D">
        <w:t xml:space="preserve">2. Za tuto trestnou činnost byl obžalovaný </w:t>
      </w:r>
      <w:r>
        <w:t>[</w:t>
      </w:r>
      <w:r w:rsidRPr="005C2C7D">
        <w:rPr>
          <w:shd w:val="clear" w:color="auto" w:fill="CCCCCC"/>
        </w:rPr>
        <w:t>jméno</w:t>
      </w:r>
      <w:r w:rsidRPr="005C2C7D">
        <w:t xml:space="preserve">] </w:t>
      </w:r>
      <w:r>
        <w:t>[</w:t>
      </w:r>
      <w:r w:rsidRPr="005C2C7D">
        <w:rPr>
          <w:shd w:val="clear" w:color="auto" w:fill="CCCCCC"/>
        </w:rPr>
        <w:t>příjmení</w:t>
      </w:r>
      <w:r w:rsidRPr="005C2C7D">
        <w:t>] odsouzen k trestu odnětí svobody v trvání dvou roků s podmíněným odkladem výkonu trestu na zkušební dobu dvou roků.</w:t>
      </w:r>
    </w:p>
    <w:p w:rsidR="005C2C7D" w:rsidRDefault="005C2C7D" w:rsidP="005C2C7D">
      <w:r w:rsidRPr="005C2C7D">
        <w:t>3. V adhezním řízení byla poškozená společnost TIMA, spol. s r.o. – obchodně výrobní služby IČ: 40523284 se sídlem Karlovy Vary, Vančurova 477, odkázána se svým nárokem na náhradu škody na řízení ve věcech občanskoprávních.</w:t>
      </w:r>
    </w:p>
    <w:p w:rsidR="005C2C7D" w:rsidRDefault="005C2C7D" w:rsidP="005C2C7D">
      <w:r w:rsidRPr="005C2C7D">
        <w:t>4. Proti tomuto rozsudku si uvedená poškozená společnost podala v zákonné lhůtě odvolání, které zaměřila proti výroku o náhradě škody. V důvodech podaného odvolání se připomíná, že podle výroku o vině obžalovaných svým jednáním způsobil poškozené společnosti škodu ve výši 750 000 Kč, nicméně i přes výslovné konstatování způsobené škody jednáním obžalovaného nebyl nárok přiznán s odůvodněním, že obžalovaný předložil doklady o nákupu různých komponentů k výrobně vzorků dveří a přesná výše způsobené škody by si vyžádala další dokazování. Poškozená společnost s tím nesouhlasí a v závěru podaného odvolání navrhuje, aby odvolací soud napadený výrok o náhradě škody zrušil a ve věci sám rozhodl tak, že obžalovanému uloží povinnost nahradit poškozené společnosti způsobenou škodu ve výši 750 000 Kč.</w:t>
      </w:r>
    </w:p>
    <w:p w:rsidR="005C2C7D" w:rsidRDefault="005C2C7D" w:rsidP="005C2C7D">
      <w:r w:rsidRPr="005C2C7D">
        <w:t>5. Krajský soud v Plzni z podnětu podaného odvolání v intencích ustanovení § 254 odst. 1 trestního řádu přezkoumal zákonnost a odůvodněnost napadeného výroku, jakož i předcházející řízení, přičemž vycházel zejména z konkrétně uplatněných námitek odvolatele a současně vnímal i vyjádření obžalovaného k podanému odvolání, v němž se uvádí, že obžalovaný akceptuje rozsudek soudu prvního stupně jako věcně správný a navrhuje, aby odvolací soud odvolání poškozené společnosti jako nedůvodné zamítl.</w:t>
      </w:r>
    </w:p>
    <w:p w:rsidR="005C2C7D" w:rsidRDefault="005C2C7D" w:rsidP="005C2C7D">
      <w:r w:rsidRPr="005C2C7D">
        <w:t xml:space="preserve">6. Především je třeba uvést, že řízení předcházející vydání napadeného výroku netrpí procesními vadami, pro které by bylo třeba napadený rozsudek zrušit z titulu ustanovení § 258 odst. 1 písm. a) trestního řádu. Ostatně odvolatel procesní námitky ani neuplatnil. Krajský soud považuje za případné toliko připomenout, že poškozená společnost nárok na náhradu škody ve výši 750 000 Kč řádně a včas vůči obžalovanému </w:t>
      </w:r>
      <w:r>
        <w:t>[</w:t>
      </w:r>
      <w:r w:rsidRPr="005C2C7D">
        <w:rPr>
          <w:shd w:val="clear" w:color="auto" w:fill="CCCCCC"/>
        </w:rPr>
        <w:t>jméno</w:t>
      </w:r>
      <w:r w:rsidRPr="005C2C7D">
        <w:t xml:space="preserve">] </w:t>
      </w:r>
      <w:r>
        <w:t>[</w:t>
      </w:r>
      <w:r w:rsidRPr="005C2C7D">
        <w:rPr>
          <w:shd w:val="clear" w:color="auto" w:fill="CCCCCC"/>
        </w:rPr>
        <w:t>příjmení</w:t>
      </w:r>
      <w:r w:rsidRPr="005C2C7D">
        <w:t>] uplatnila.</w:t>
      </w:r>
    </w:p>
    <w:p w:rsidR="00F11093" w:rsidRPr="005C2C7D" w:rsidRDefault="005C2C7D" w:rsidP="00B11E15">
      <w:r w:rsidRPr="005C2C7D">
        <w:t xml:space="preserve">7. Pokud jde o věcnou správnost a potažmo zákonnost napadeného výroku, krajský soud shledal, že soud prvního stupně nerespektoval ustanovení § 228 odst. 1 věta druhá (za středníkem) trestního řádu, kde se uvádí, že soud uloží obžalovanému vždy povinnost k náhradě škody nebo k vydání bezdůvodného obohacení, jestliže je výše škody nebo rozsah bezdůvodného obohacení součástí popisu skutku uvedeného ve výroku rozsudku, jímž se obžalovaný uznává vinným a škoda v této výši nebyla dosud uhrazena nebo bezdůvodné obohacení nebylo dosud v tomto rozsahu vydáno. Z uvedeného je zřejmé, že jde o obligatorní postup, samozřejmě za předpokladu, že takovémuto postupu nebrání zákonná překážka. Taktomu v daném případě není a stejně tak bylo i při veřejném zasedání u Krajského soudu v Plzni potvrzeno, že škoda dosud </w:t>
      </w:r>
      <w:r w:rsidRPr="005C2C7D">
        <w:lastRenderedPageBreak/>
        <w:t>nebyla poškozenému subjektu ani zčásti uhrazena. Za situace, kdy výrok o vině je pravomocný a součástí popisu skutku v tomto výroku je výše škody obžalovaným poškozenému subjektu způsobená (ve výši 750 000 Kč), nezbylo krajskému soudu, než k podanému odvolání napadený výrok o náhradě škody zrušit a postupem dle § 259 odst. 3 trestního řádu znovu rozhodnout tak, jak je uvedeno ve výroku.</w:t>
      </w:r>
    </w:p>
    <w:p w:rsidR="008A0B5D" w:rsidRDefault="008A0B5D" w:rsidP="008A0B5D">
      <w:pPr>
        <w:pStyle w:val="Nadpisstirozsudku"/>
      </w:pPr>
      <w:r>
        <w:t>Poučení:</w:t>
      </w:r>
    </w:p>
    <w:p w:rsidR="006B14EC" w:rsidRPr="005C2C7D" w:rsidRDefault="005C2C7D" w:rsidP="005C2C7D">
      <w:pPr>
        <w:jc w:val="left"/>
      </w:pPr>
      <w:r w:rsidRPr="005C2C7D">
        <w:t>Proti tomuto rozhodnutí není přípustný další řádný opravný prostředek.</w:t>
      </w:r>
    </w:p>
    <w:p w:rsidR="006B14EC" w:rsidRPr="001F0625" w:rsidRDefault="005C2C7D" w:rsidP="006B14EC">
      <w:pPr>
        <w:keepNext/>
        <w:spacing w:before="960"/>
        <w:rPr>
          <w:szCs w:val="22"/>
        </w:rPr>
      </w:pPr>
      <w:r>
        <w:rPr>
          <w:szCs w:val="22"/>
        </w:rPr>
        <w:t>Plzeň</w:t>
      </w:r>
      <w:r w:rsidR="006B14EC" w:rsidRPr="001F0625">
        <w:rPr>
          <w:szCs w:val="22"/>
        </w:rPr>
        <w:t xml:space="preserve"> </w:t>
      </w:r>
      <w:r>
        <w:t>6. května 2020</w:t>
      </w:r>
    </w:p>
    <w:p w:rsidR="006B69A5" w:rsidRDefault="005C2C7D" w:rsidP="00845CC2">
      <w:pPr>
        <w:keepNext/>
        <w:spacing w:before="480"/>
        <w:jc w:val="left"/>
      </w:pPr>
      <w:r>
        <w:t>JUDr. Milan Suk</w:t>
      </w:r>
      <w:r w:rsidR="00B11E15">
        <w:t xml:space="preserve"> v. r.</w:t>
      </w:r>
      <w:r w:rsidR="006B14EC">
        <w:br/>
      </w:r>
      <w:r>
        <w:t>předseda senátu</w:t>
      </w:r>
    </w:p>
    <w:sectPr w:rsidR="006B69A5" w:rsidSect="00B83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499" w:rsidRDefault="00865499" w:rsidP="00B83118">
      <w:pPr>
        <w:spacing w:after="0"/>
      </w:pPr>
      <w:r>
        <w:separator/>
      </w:r>
    </w:p>
  </w:endnote>
  <w:endnote w:type="continuationSeparator" w:id="0">
    <w:p w:rsidR="00865499" w:rsidRDefault="00865499" w:rsidP="00B8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7D" w:rsidRDefault="005C2C7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7D" w:rsidRDefault="005C2C7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7D" w:rsidRDefault="005C2C7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499" w:rsidRDefault="00865499" w:rsidP="00B83118">
      <w:pPr>
        <w:spacing w:after="0"/>
      </w:pPr>
      <w:r>
        <w:separator/>
      </w:r>
    </w:p>
  </w:footnote>
  <w:footnote w:type="continuationSeparator" w:id="0">
    <w:p w:rsidR="00865499" w:rsidRDefault="00865499" w:rsidP="00B8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7D" w:rsidRDefault="005C2C7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>
    <w:pPr>
      <w:pStyle w:val="Zhlav"/>
    </w:pPr>
    <w:r>
      <w:tab/>
    </w:r>
    <w:r>
      <w:fldChar w:fldCharType="begin"/>
    </w:r>
    <w:r>
      <w:instrText>PAGE   \* MERGEFORMAT</w:instrText>
    </w:r>
    <w:r>
      <w:fldChar w:fldCharType="separate"/>
    </w:r>
    <w:r w:rsidR="003008B9">
      <w:rPr>
        <w:noProof/>
      </w:rPr>
      <w:t>2</w:t>
    </w:r>
    <w:r>
      <w:fldChar w:fldCharType="end"/>
    </w:r>
    <w:r>
      <w:tab/>
    </w:r>
    <w:r w:rsidR="005C2C7D">
      <w:t>50 To 79/2020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 w:rsidP="00B83118">
    <w:pPr>
      <w:pStyle w:val="Zhlav"/>
      <w:jc w:val="right"/>
    </w:pPr>
    <w:r>
      <w:t xml:space="preserve">Číslo jednací: </w:t>
    </w:r>
    <w:r w:rsidR="005C2C7D">
      <w:t>50 To 79/2020 - 1326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90936"/>
    <w:multiLevelType w:val="hybridMultilevel"/>
    <w:tmpl w:val="05086292"/>
    <w:lvl w:ilvl="0" w:tplc="B2C4BB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57E2"/>
    <w:multiLevelType w:val="hybridMultilevel"/>
    <w:tmpl w:val="646AA7D0"/>
    <w:lvl w:ilvl="0" w:tplc="04050013">
      <w:start w:val="1"/>
      <w:numFmt w:val="upperRoman"/>
      <w:lvlText w:val="%1."/>
      <w:lvlJc w:val="righ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B92906"/>
    <w:multiLevelType w:val="hybridMultilevel"/>
    <w:tmpl w:val="68E81B32"/>
    <w:lvl w:ilvl="0" w:tplc="04050013">
      <w:start w:val="1"/>
      <w:numFmt w:val="upperRoman"/>
      <w:lvlText w:val="%1."/>
      <w:lvlJc w:val="right"/>
      <w:pPr>
        <w:ind w:left="15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85" w:hanging="360"/>
      </w:pPr>
    </w:lvl>
    <w:lvl w:ilvl="2" w:tplc="0405001B" w:tentative="1">
      <w:start w:val="1"/>
      <w:numFmt w:val="lowerRoman"/>
      <w:lvlText w:val="%3."/>
      <w:lvlJc w:val="right"/>
      <w:pPr>
        <w:ind w:left="3005" w:hanging="180"/>
      </w:pPr>
    </w:lvl>
    <w:lvl w:ilvl="3" w:tplc="0405000F" w:tentative="1">
      <w:start w:val="1"/>
      <w:numFmt w:val="decimal"/>
      <w:lvlText w:val="%4."/>
      <w:lvlJc w:val="left"/>
      <w:pPr>
        <w:ind w:left="3725" w:hanging="360"/>
      </w:pPr>
    </w:lvl>
    <w:lvl w:ilvl="4" w:tplc="04050019" w:tentative="1">
      <w:start w:val="1"/>
      <w:numFmt w:val="lowerLetter"/>
      <w:lvlText w:val="%5."/>
      <w:lvlJc w:val="left"/>
      <w:pPr>
        <w:ind w:left="4445" w:hanging="360"/>
      </w:pPr>
    </w:lvl>
    <w:lvl w:ilvl="5" w:tplc="0405001B" w:tentative="1">
      <w:start w:val="1"/>
      <w:numFmt w:val="lowerRoman"/>
      <w:lvlText w:val="%6."/>
      <w:lvlJc w:val="right"/>
      <w:pPr>
        <w:ind w:left="5165" w:hanging="180"/>
      </w:pPr>
    </w:lvl>
    <w:lvl w:ilvl="6" w:tplc="0405000F" w:tentative="1">
      <w:start w:val="1"/>
      <w:numFmt w:val="decimal"/>
      <w:lvlText w:val="%7."/>
      <w:lvlJc w:val="left"/>
      <w:pPr>
        <w:ind w:left="5885" w:hanging="360"/>
      </w:pPr>
    </w:lvl>
    <w:lvl w:ilvl="7" w:tplc="04050019" w:tentative="1">
      <w:start w:val="1"/>
      <w:numFmt w:val="lowerLetter"/>
      <w:lvlText w:val="%8."/>
      <w:lvlJc w:val="left"/>
      <w:pPr>
        <w:ind w:left="6605" w:hanging="360"/>
      </w:pPr>
    </w:lvl>
    <w:lvl w:ilvl="8" w:tplc="040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" w15:restartNumberingAfterBreak="0">
    <w:nsid w:val="5F963F85"/>
    <w:multiLevelType w:val="hybridMultilevel"/>
    <w:tmpl w:val="921A52D6"/>
    <w:lvl w:ilvl="0" w:tplc="73DEB00E">
      <w:start w:val="1"/>
      <w:numFmt w:val="upperRoman"/>
      <w:pStyle w:val="slovanvrok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zor" w:val="AA02"/>
  </w:docVars>
  <w:rsids>
    <w:rsidRoot w:val="004203B8"/>
    <w:rsid w:val="00000E54"/>
    <w:rsid w:val="00012E95"/>
    <w:rsid w:val="000719D4"/>
    <w:rsid w:val="00073A74"/>
    <w:rsid w:val="000A01FA"/>
    <w:rsid w:val="000A2B05"/>
    <w:rsid w:val="000B1A50"/>
    <w:rsid w:val="000C0180"/>
    <w:rsid w:val="000E00A2"/>
    <w:rsid w:val="000F4402"/>
    <w:rsid w:val="001164A3"/>
    <w:rsid w:val="001421E8"/>
    <w:rsid w:val="001514AB"/>
    <w:rsid w:val="001669E1"/>
    <w:rsid w:val="00170070"/>
    <w:rsid w:val="00174606"/>
    <w:rsid w:val="00174B60"/>
    <w:rsid w:val="00176782"/>
    <w:rsid w:val="00176E37"/>
    <w:rsid w:val="001975C8"/>
    <w:rsid w:val="001B142E"/>
    <w:rsid w:val="001B681D"/>
    <w:rsid w:val="001C30B5"/>
    <w:rsid w:val="001E580C"/>
    <w:rsid w:val="001F35BB"/>
    <w:rsid w:val="001F7B07"/>
    <w:rsid w:val="002013C4"/>
    <w:rsid w:val="002056A2"/>
    <w:rsid w:val="002216DA"/>
    <w:rsid w:val="00225561"/>
    <w:rsid w:val="00233126"/>
    <w:rsid w:val="00234D4F"/>
    <w:rsid w:val="002A77C1"/>
    <w:rsid w:val="002C5F24"/>
    <w:rsid w:val="002D0AD5"/>
    <w:rsid w:val="002F1CEE"/>
    <w:rsid w:val="003008B9"/>
    <w:rsid w:val="003111C2"/>
    <w:rsid w:val="00313787"/>
    <w:rsid w:val="00331E8A"/>
    <w:rsid w:val="00361853"/>
    <w:rsid w:val="00383BA9"/>
    <w:rsid w:val="003926CC"/>
    <w:rsid w:val="003A37C4"/>
    <w:rsid w:val="003B38B9"/>
    <w:rsid w:val="003B7B1C"/>
    <w:rsid w:val="003C659A"/>
    <w:rsid w:val="003D0A5B"/>
    <w:rsid w:val="00417F11"/>
    <w:rsid w:val="004203B8"/>
    <w:rsid w:val="0042571C"/>
    <w:rsid w:val="00434AE9"/>
    <w:rsid w:val="00436E3D"/>
    <w:rsid w:val="0044684D"/>
    <w:rsid w:val="00446DEA"/>
    <w:rsid w:val="00473211"/>
    <w:rsid w:val="004A1EF9"/>
    <w:rsid w:val="004A5914"/>
    <w:rsid w:val="004A74B8"/>
    <w:rsid w:val="004B0928"/>
    <w:rsid w:val="004C7DF8"/>
    <w:rsid w:val="004F3881"/>
    <w:rsid w:val="00503B27"/>
    <w:rsid w:val="00503DE4"/>
    <w:rsid w:val="00511351"/>
    <w:rsid w:val="005250A5"/>
    <w:rsid w:val="00537B33"/>
    <w:rsid w:val="00540C15"/>
    <w:rsid w:val="00552EF7"/>
    <w:rsid w:val="00567131"/>
    <w:rsid w:val="00567427"/>
    <w:rsid w:val="00572B7F"/>
    <w:rsid w:val="0057488E"/>
    <w:rsid w:val="005A000B"/>
    <w:rsid w:val="005A4DE1"/>
    <w:rsid w:val="005A6E65"/>
    <w:rsid w:val="005C2C7D"/>
    <w:rsid w:val="005D22A9"/>
    <w:rsid w:val="005D24AF"/>
    <w:rsid w:val="005F1575"/>
    <w:rsid w:val="00604F22"/>
    <w:rsid w:val="00613A5A"/>
    <w:rsid w:val="00617ECD"/>
    <w:rsid w:val="00642671"/>
    <w:rsid w:val="006474FE"/>
    <w:rsid w:val="00654C4F"/>
    <w:rsid w:val="006B14EC"/>
    <w:rsid w:val="006B3C27"/>
    <w:rsid w:val="006B3DFB"/>
    <w:rsid w:val="006B69A5"/>
    <w:rsid w:val="006D2084"/>
    <w:rsid w:val="006F0E2E"/>
    <w:rsid w:val="006F60BD"/>
    <w:rsid w:val="007501FE"/>
    <w:rsid w:val="007516B8"/>
    <w:rsid w:val="00771553"/>
    <w:rsid w:val="007B487E"/>
    <w:rsid w:val="007C71EA"/>
    <w:rsid w:val="007C7CA8"/>
    <w:rsid w:val="007E39CF"/>
    <w:rsid w:val="007F11B7"/>
    <w:rsid w:val="00807782"/>
    <w:rsid w:val="00845CC2"/>
    <w:rsid w:val="008527CE"/>
    <w:rsid w:val="0085450F"/>
    <w:rsid w:val="00856A9C"/>
    <w:rsid w:val="00860D5B"/>
    <w:rsid w:val="00865499"/>
    <w:rsid w:val="008703F5"/>
    <w:rsid w:val="008A029B"/>
    <w:rsid w:val="008A0B5D"/>
    <w:rsid w:val="008B5559"/>
    <w:rsid w:val="008D252B"/>
    <w:rsid w:val="008E0E38"/>
    <w:rsid w:val="008F75B7"/>
    <w:rsid w:val="009163EB"/>
    <w:rsid w:val="0092758B"/>
    <w:rsid w:val="00933274"/>
    <w:rsid w:val="00941B3B"/>
    <w:rsid w:val="00942E4D"/>
    <w:rsid w:val="0094685E"/>
    <w:rsid w:val="00970E18"/>
    <w:rsid w:val="009859E1"/>
    <w:rsid w:val="00993AC7"/>
    <w:rsid w:val="00A26B11"/>
    <w:rsid w:val="00A26CB2"/>
    <w:rsid w:val="00A456BC"/>
    <w:rsid w:val="00A479E4"/>
    <w:rsid w:val="00A7495D"/>
    <w:rsid w:val="00AC2E5F"/>
    <w:rsid w:val="00AC5CE3"/>
    <w:rsid w:val="00B0321B"/>
    <w:rsid w:val="00B11E15"/>
    <w:rsid w:val="00B27796"/>
    <w:rsid w:val="00B5161D"/>
    <w:rsid w:val="00B83118"/>
    <w:rsid w:val="00BD3335"/>
    <w:rsid w:val="00BD41F9"/>
    <w:rsid w:val="00BE05C2"/>
    <w:rsid w:val="00BE1B45"/>
    <w:rsid w:val="00BE3229"/>
    <w:rsid w:val="00BF04A3"/>
    <w:rsid w:val="00C1541A"/>
    <w:rsid w:val="00C45CC2"/>
    <w:rsid w:val="00C52C00"/>
    <w:rsid w:val="00C70353"/>
    <w:rsid w:val="00C721C5"/>
    <w:rsid w:val="00C7783E"/>
    <w:rsid w:val="00C941D1"/>
    <w:rsid w:val="00CA0B0E"/>
    <w:rsid w:val="00CA3A12"/>
    <w:rsid w:val="00CB30BB"/>
    <w:rsid w:val="00CB4027"/>
    <w:rsid w:val="00CC4728"/>
    <w:rsid w:val="00CD3600"/>
    <w:rsid w:val="00CE2E3A"/>
    <w:rsid w:val="00CE7753"/>
    <w:rsid w:val="00D021FC"/>
    <w:rsid w:val="00D2392F"/>
    <w:rsid w:val="00D414F7"/>
    <w:rsid w:val="00D80197"/>
    <w:rsid w:val="00D8162D"/>
    <w:rsid w:val="00DB4AFB"/>
    <w:rsid w:val="00DD6756"/>
    <w:rsid w:val="00E028FD"/>
    <w:rsid w:val="00E102AB"/>
    <w:rsid w:val="00E1676B"/>
    <w:rsid w:val="00E25261"/>
    <w:rsid w:val="00E25ADF"/>
    <w:rsid w:val="00E40A50"/>
    <w:rsid w:val="00E44642"/>
    <w:rsid w:val="00E50664"/>
    <w:rsid w:val="00E77DA8"/>
    <w:rsid w:val="00EA5167"/>
    <w:rsid w:val="00EE024F"/>
    <w:rsid w:val="00EF3778"/>
    <w:rsid w:val="00F024FB"/>
    <w:rsid w:val="00F11093"/>
    <w:rsid w:val="00F240E4"/>
    <w:rsid w:val="00F308CF"/>
    <w:rsid w:val="00F3617B"/>
    <w:rsid w:val="00F52F99"/>
    <w:rsid w:val="00F54A66"/>
    <w:rsid w:val="00F66B0F"/>
    <w:rsid w:val="00F72C47"/>
    <w:rsid w:val="00F758AA"/>
    <w:rsid w:val="00F914FF"/>
    <w:rsid w:val="00F9277E"/>
    <w:rsid w:val="00F96142"/>
    <w:rsid w:val="00FC5371"/>
    <w:rsid w:val="00FC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63B17-B17A-46A5-BE6B-2DC7849E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2C47"/>
    <w:pPr>
      <w:autoSpaceDE w:val="0"/>
      <w:autoSpaceDN w:val="0"/>
      <w:adjustRightInd w:val="0"/>
      <w:spacing w:after="120"/>
      <w:jc w:val="both"/>
    </w:pPr>
    <w:rPr>
      <w:rFonts w:ascii="Garamond" w:eastAsia="Times New Roman" w:hAnsi="Garamond" w:cs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rozsudku">
    <w:name w:val="Text rozsudku"/>
    <w:basedOn w:val="Normln"/>
    <w:qFormat/>
    <w:rsid w:val="00E50664"/>
    <w:pPr>
      <w:ind w:firstLine="708"/>
      <w:textAlignment w:val="baseline"/>
    </w:pPr>
    <w:rPr>
      <w:szCs w:val="22"/>
    </w:rPr>
  </w:style>
  <w:style w:type="character" w:styleId="Odkaznakoment">
    <w:name w:val="annotation reference"/>
    <w:uiPriority w:val="99"/>
    <w:semiHidden/>
    <w:unhideWhenUsed/>
    <w:rsid w:val="00B032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321B"/>
    <w:rPr>
      <w:rFonts w:ascii="Times New Roman" w:hAnsi="Times New Roman" w:cs="Times New Roman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B032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321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0321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321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032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203B8"/>
    <w:pPr>
      <w:ind w:left="720"/>
      <w:contextualSpacing/>
    </w:pPr>
  </w:style>
  <w:style w:type="paragraph" w:customStyle="1" w:styleId="Nadpisstirozsudku">
    <w:name w:val="Nadpis části rozsudku"/>
    <w:basedOn w:val="Normln"/>
    <w:link w:val="NadpisstirozsudkuChar"/>
    <w:qFormat/>
    <w:rsid w:val="008A0B5D"/>
    <w:pPr>
      <w:spacing w:before="240"/>
      <w:jc w:val="center"/>
    </w:pPr>
    <w:rPr>
      <w:b/>
    </w:rPr>
  </w:style>
  <w:style w:type="character" w:customStyle="1" w:styleId="NadpisstirozsudkuChar">
    <w:name w:val="Nadpis části rozsudku Char"/>
    <w:basedOn w:val="Standardnpsmoodstavce"/>
    <w:link w:val="Nadpisstirozsudku"/>
    <w:rsid w:val="008A0B5D"/>
    <w:rPr>
      <w:rFonts w:ascii="Garamond" w:eastAsia="Times New Roman" w:hAnsi="Garamond" w:cs="Calibri"/>
      <w:b/>
      <w:sz w:val="24"/>
    </w:rPr>
  </w:style>
  <w:style w:type="paragraph" w:customStyle="1" w:styleId="slovanvrok">
    <w:name w:val="Číslovaný výrok"/>
    <w:basedOn w:val="Odstavecseseznamem"/>
    <w:link w:val="slovanvrokChar"/>
    <w:qFormat/>
    <w:rsid w:val="00941B3B"/>
    <w:pPr>
      <w:numPr>
        <w:numId w:val="4"/>
      </w:numPr>
      <w:ind w:left="568" w:hanging="284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F3881"/>
    <w:rPr>
      <w:rFonts w:ascii="Garamond" w:eastAsia="Times New Roman" w:hAnsi="Garamond" w:cs="Calibri"/>
      <w:sz w:val="24"/>
    </w:rPr>
  </w:style>
  <w:style w:type="character" w:customStyle="1" w:styleId="slovanvrokChar">
    <w:name w:val="Číslovaný výrok Char"/>
    <w:basedOn w:val="OdstavecseseznamemChar"/>
    <w:link w:val="slovanvrok"/>
    <w:rsid w:val="00941B3B"/>
    <w:rPr>
      <w:rFonts w:ascii="Garamond" w:eastAsia="Times New Roman" w:hAnsi="Garamond" w:cs="Calibri"/>
      <w:sz w:val="24"/>
    </w:rPr>
  </w:style>
  <w:style w:type="paragraph" w:customStyle="1" w:styleId="Neslovanvrok">
    <w:name w:val="Nečíslovaný výrok"/>
    <w:basedOn w:val="slovanvrok"/>
    <w:link w:val="NeslovanvrokChar"/>
    <w:qFormat/>
    <w:rsid w:val="00941B3B"/>
    <w:pPr>
      <w:numPr>
        <w:numId w:val="0"/>
      </w:numPr>
      <w:ind w:left="567"/>
    </w:pPr>
  </w:style>
  <w:style w:type="character" w:customStyle="1" w:styleId="NeslovanvrokChar">
    <w:name w:val="Nečíslovaný výrok Char"/>
    <w:basedOn w:val="slovanvrokChar"/>
    <w:link w:val="Neslovanvrok"/>
    <w:rsid w:val="00941B3B"/>
    <w:rPr>
      <w:rFonts w:ascii="Garamond" w:eastAsia="Times New Roman" w:hAnsi="Garamond" w:cs="Calibri"/>
      <w:sz w:val="24"/>
    </w:rPr>
  </w:style>
  <w:style w:type="paragraph" w:customStyle="1" w:styleId="Odstaveczhlav">
    <w:name w:val="Odstavec záhlaví"/>
    <w:basedOn w:val="Neslovanvrok"/>
    <w:link w:val="OdstaveczhlavChar"/>
    <w:qFormat/>
    <w:rsid w:val="000E00A2"/>
    <w:pPr>
      <w:tabs>
        <w:tab w:val="left" w:pos="1985"/>
      </w:tabs>
      <w:spacing w:before="120" w:after="0"/>
      <w:ind w:left="1985" w:hanging="1985"/>
    </w:pPr>
  </w:style>
  <w:style w:type="character" w:customStyle="1" w:styleId="OdstaveczhlavChar">
    <w:name w:val="Odstavec záhlaví Char"/>
    <w:basedOn w:val="NeslovanvrokChar"/>
    <w:link w:val="Odstaveczhlav"/>
    <w:rsid w:val="000E00A2"/>
    <w:rPr>
      <w:rFonts w:ascii="Garamond" w:eastAsia="Times New Roman" w:hAnsi="Garamond" w:cs="Calibri"/>
      <w:sz w:val="24"/>
    </w:rPr>
  </w:style>
  <w:style w:type="paragraph" w:styleId="Zhlav">
    <w:name w:val="header"/>
    <w:basedOn w:val="Normln"/>
    <w:link w:val="Zhlav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B83118"/>
    <w:rPr>
      <w:rFonts w:ascii="Garamond" w:eastAsia="Times New Roman" w:hAnsi="Garamond" w:cs="Calibri"/>
      <w:sz w:val="24"/>
    </w:rPr>
  </w:style>
  <w:style w:type="paragraph" w:styleId="Zpat">
    <w:name w:val="footer"/>
    <w:basedOn w:val="Normln"/>
    <w:link w:val="Zpat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83118"/>
    <w:rPr>
      <w:rFonts w:ascii="Garamond" w:eastAsia="Times New Roman" w:hAnsi="Garamond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Kuchařová Marcela</dc:creator>
  <cp:lastModifiedBy>Kuchařová Marcela</cp:lastModifiedBy>
  <cp:revision>2</cp:revision>
  <cp:lastPrinted>2018-07-30T21:25:00Z</cp:lastPrinted>
  <dcterms:created xsi:type="dcterms:W3CDTF">2022-09-23T12:44:00Z</dcterms:created>
  <dcterms:modified xsi:type="dcterms:W3CDTF">2022-09-23T12:44:00Z</dcterms:modified>
</cp:coreProperties>
</file>